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Contrato de prestação do Memogadget Assist</w:t>
      </w:r>
    </w:p>
    <w:p>
      <w:r>
        <w:t>Minuta para contratação entre empresas e profissionais, por aceitação online documentada ou assinatura. Versão de 15 de outubro de 2026. Preencher as condições e anexos, verificar os poderes dos representantes e conservar a versão final antes de assinar. Não enviar esta minuta incompleta como contrato concluído.</w:t>
      </w:r>
    </w:p>
    <w:p>
      <w:pPr>
        <w:pStyle w:val="Heading1"/>
      </w:pPr>
      <w:r>
        <w:t>Partes e representação</w:t>
      </w:r>
    </w:p>
    <w:p>
      <w:r>
        <w:t>Prestador: Memogadget, Unipessoal Lda., NIPC 510007082, com sede na Rua José Carlos Vieira Neves, n.º 64, Maia, Portugal. Contacto: comercial@memogadget.com. Representante e qualidade: [PREENCHER].</w:t>
      </w:r>
    </w:p>
    <w:p>
      <w:r>
        <w:t>Cliente: [DENOMINAÇÃO SOCIAL], NIPC/NIF [PREENCHER], sede [PREENCHER], representado por [NOME], na qualidade de [QUALIDADE], com poderes verificados por [DOCUMENTO OU REFERÊNCIA]. Contactos contratual, operacional e de privacidade: [PREENCHER].</w:t>
      </w:r>
    </w:p>
    <w:p>
      <w:pPr>
        <w:pStyle w:val="Heading1"/>
      </w:pPr>
      <w:r>
        <w:t>Condições particulares</w:t>
      </w:r>
    </w:p>
    <w:p>
      <w:r>
        <w:t>Identificador do contrato e data: [PREENCHER]. Data de início: [PREENCHER].</w:t>
      </w:r>
    </w:p>
    <w:p>
      <w:r>
        <w:t>Plano, empresas, utilizadores e funcionalidades contratadas: [PREENCHER]. Care/Cuidar e geração de vídeo excluídos desta oferta. Usos sensíveis dependem de avaliação e autorização específicas.</w:t>
      </w:r>
    </w:p>
    <w:p>
      <w:r>
        <w:t>Preço de instalação: [PREENCHER OU NÃO APLICÁVEL]. Preço recorrente e periodicidade: [PREENCHER]. IVA, vencimento e meio de pagamento: [PREENCHER].</w:t>
      </w:r>
    </w:p>
    <w:p>
      <w:r>
        <w:t>Créditos incluídos, consumo, validade e preço de excedentes: [PREENCHER]. Renovação automática de créditos ou débitos adicionais: [NÃO / CONDIÇÕES EXPRESSAS]. Orçamento publicitário e telecomunicações são separados dos créditos IA.</w:t>
      </w:r>
    </w:p>
    <w:p>
      <w:r>
        <w:t>Duração inicial: [PREENCHER]. Renovação: [NÃO / CONDIÇÕES]. Prazo e meio de denúncia: [PREENCHER]. Consequências da cessação e valores eventualmente devidos: [PREENCHER].</w:t>
      </w:r>
    </w:p>
    <w:p>
      <w:r>
        <w:t>Horário e canal de apoio, resposta e disponibilidade contratadas: [PREENCHER]. Sem estes compromissos preenchidos não se presume SLA, apoio permanente ou disponibilidade absoluta.</w:t>
      </w:r>
    </w:p>
    <w:p>
      <w:r>
        <w:t>Integrações e contas autorizadas, ações automáticas, ações que exigem aprovação e limites de despesa: [PREENCHER]. Responsável humano do cliente e contacto de escalamento: [PREENCHER].</w:t>
      </w:r>
    </w:p>
    <w:p>
      <w:r>
        <w:t>Exportação de dados e formato: [PREENCHER]. Prazo para solicitar e receber exportação, eliminação de dados ativos e ciclo de backups: [PREENCHER]. Obrigações de retenção excecionais: [PREENCHER].</w:t>
      </w:r>
    </w:p>
    <w:p>
      <w:r>
        <w:t>Outras condições acordadas: [PREENCHER OU NÃO APLICÁVEL]. Documentos anexados e respetivos identificadores ou hashes: [PREENCHER].</w:t>
      </w:r>
    </w:p>
    <w:p>
      <w:r>
        <w:t>As condições particulares preenchidas prevalecem sobre as condições gerais quando lícitas; o anexo de tratamento prevalece em matéria de tratamento por conta do cliente. Funcionalidades indisponíveis ou bloqueadas por avaliação não são ativadas apenas por assinatura.</w:t>
      </w:r>
    </w:p>
    <w:p>
      <w:pPr>
        <w:pStyle w:val="Heading1"/>
      </w:pPr>
      <w:r>
        <w:t>Condições gerais</w:t>
      </w:r>
    </w:p>
    <w:p>
      <w:pPr>
        <w:pStyle w:val="Heading2"/>
      </w:pPr>
      <w:r>
        <w:t>1 Prestador e contacto</w:t>
      </w:r>
    </w:p>
    <w:p>
      <w:r>
        <w:t>O Memogadget Assist é disponibilizado pela Memogadget, Unipessoal Lda., NIPC 510007082. Contacto de apoio, contratação, privacidade e incidentes: comercial@memogadget.com. Estes termos aplicam-se à plataforma web e à aplicação móvel e complementam a proposta ou contrato e as condições comerciais aceites pelo cliente. Sede: Rua José Carlos Vieira Neves, n.º 64, Maia, Portugal.</w:t>
      </w:r>
    </w:p>
    <w:p>
      <w:pPr>
        <w:pStyle w:val="Heading2"/>
      </w:pPr>
      <w:r>
        <w:t>2 Finalidade e contratação</w:t>
      </w:r>
    </w:p>
    <w:p>
      <w:r>
        <w:t>O Assist destina-se a apoiar a atividade de empresas e profissionais. O representante que contrata deve ter poderes para vincular a entidade e fornecer dados corretos. O plano, preço, impostos, duração, renovação e condições de cessação aplicáveis devem constar da contratação apresentada ao cliente. Nenhuma cláusula afasta direitos imperativos que sejam aplicáveis ao contratante.</w:t>
      </w:r>
    </w:p>
    <w:p>
      <w:pPr>
        <w:pStyle w:val="Heading2"/>
      </w:pPr>
      <w:r>
        <w:t>3 Aceitação online da subscrição</w:t>
      </w:r>
    </w:p>
    <w:p>
      <w:r>
        <w:t>A contratação pode ser concluída por aceitação expressa online pelo representante autorizado da empresa, após disponibilização destes termos, das condições comerciais e do acordo de tratamento de dados aplicável. A mera utilização, o pagamento isolado ou uma caixa pré-assinalada não substituem a manifestação de aceitação. A versão aceite e as condições particulares devem ser conservadas e disponibilizadas ao cliente. A Política de Privacidade é prestada como informação; não constitui um consentimento geral. Condições específicas do Assist Voz podem integrar um anexo aceite separadamente, também por meio eletrónico.</w:t>
      </w:r>
    </w:p>
    <w:p>
      <w:pPr>
        <w:pStyle w:val="Heading2"/>
      </w:pPr>
      <w:r>
        <w:t>4 Funcionalidades e limites da oferta</w:t>
      </w:r>
    </w:p>
    <w:p>
      <w:r>
        <w:t>A oferta pode incluir atendimento por voz e chat, gestão de email, SMS e outros canais ligados, CRM e prospeção, preparação de textos e imagens, publicidade, sites, gestão de projetos e apoio ao desenvolvimento e a tarefas operacionais. A disponibilidade concreta depende do plano, permissões, integrações, avaliação da utilização e configuração. Assist Care/Cuidar e geração de vídeo não integram a oferta comercial aqui descrita nesta fase. A existência de um menu, protótipo ou função de teste não significa disponibilidade contratada.</w:t>
      </w:r>
    </w:p>
    <w:p>
      <w:pPr>
        <w:pStyle w:val="Heading2"/>
      </w:pPr>
      <w:r>
        <w:t>5 Contas, empresas e permissões</w:t>
      </w:r>
    </w:p>
    <w:p>
      <w:r>
        <w:t>Cada utilizador deve proteger as credenciais e utilizar apenas acessos autorizados. A empresa cliente é responsável por atribuir, rever e retirar permissões, configurar partilhas e comunicar entradas e saídas da sua equipa. Dados de empresas distintas não devem ser misturados. O acesso administrativo não autoriza finalidades alheias à atividade legítima da organização.</w:t>
      </w:r>
    </w:p>
    <w:p>
      <w:pPr>
        <w:pStyle w:val="Heading2"/>
      </w:pPr>
      <w:r>
        <w:t>6 IA e representação da empresa</w:t>
      </w:r>
    </w:p>
    <w:p>
      <w:r>
        <w:t>Os agentes de IA podem atender e executar tarefas em nome da empresa cliente, de acordo com a finalidade e as autorizações configuradas. A empresa pode personalizar a apresentação, mas não deve ocultar a identificação de IA exigida nem apresentar deliberadamente o agente como uma pessoa real. A Memogadget fornece a plataforma; a responsabilidade aplicável à implementação deve ser apreciada segundo a utilização e o contrato, sem presumir que todos os intervenientes têm o mesmo papel jurídico.</w:t>
      </w:r>
    </w:p>
    <w:p>
      <w:pPr>
        <w:pStyle w:val="Heading2"/>
      </w:pPr>
      <w:r>
        <w:t>7 Revisão humana e ações externas</w:t>
      </w:r>
    </w:p>
    <w:p>
      <w:r>
        <w:t>A IA pode produzir erros, omissões, código inseguro ou conteúdo inadequado. O cliente deve definir os limites da automatização e os responsáveis pela supervisão. Enviar mensagens, publicar, contratar serviços, alterar sistemas ou realizar despesas exige a autorização e os controlos aplicáveis à ação. Aprovar uma tarefa não autoriza automaticamente outras ações ou despesas. Uma ação só deve ser considerada concluída quando exista confirmação do resultado; um pedido ou rascunho não é uma publicação.</w:t>
      </w:r>
    </w:p>
    <w:p>
      <w:pPr>
        <w:pStyle w:val="Heading2"/>
      </w:pPr>
      <w:r>
        <w:t>8 Automações e mensagens</w:t>
      </w:r>
    </w:p>
    <w:p>
      <w:r>
        <w:t>Respostas automáticas são distintas de rascunhos revistos e enviados por uma pessoa. O cliente deve verificar remetente, destinatário, empresa representada, conteúdo e autorizações de cada fluxo, respeitando as regras de transparência e de comunicações eletrónicas aplicáveis. A utilização de apoio de IA por uma pessoa não torna, por si só, o seu envio uma resposta automática.</w:t>
      </w:r>
    </w:p>
    <w:p>
      <w:pPr>
        <w:pStyle w:val="Heading2"/>
      </w:pPr>
      <w:r>
        <w:t>9 Utilizações proibidas e sensíveis</w:t>
      </w:r>
    </w:p>
    <w:p>
      <w:r>
        <w:t>Não é permitido utilizar o Assist para fraude, spam, assédio, discriminação ilícita, acesso não autorizado, violação de direitos ou práticas proibidas por lei. Não se podem contornar bloqueios, supervisão, registos ou divulgações obrigatórias através de outro agente ou skill. Recrutamento, avaliação de trabalhadores, biometria e outras utilizações potencialmente de risco elevado exigem avaliação específica e podem permanecer indisponíveis. O Assist não constitui autorização para decisões clínicas, diagnóstico ou prescrição.</w:t>
      </w:r>
    </w:p>
    <w:p>
      <w:pPr>
        <w:pStyle w:val="Heading2"/>
      </w:pPr>
      <w:r>
        <w:t>10 Conteúdos, direitos e publicidade</w:t>
      </w:r>
    </w:p>
    <w:p>
      <w:r>
        <w:t>O cliente deve dispor dos direitos e das bases legais necessários sobre dados, imagens, marcas, vozes, contactos e outros materiais que disponibiliza ou publica. O conteúdo sintético pode exigir identificação e proveniência; representar realisticamente uma pessoa exige especial verificação de direitos e de transparência. Não se garante que um resultado de IA seja exclusivo ou esteja livre de direitos de terceiros. Os dados de APIs sujeitos a restrições específicas, incluindo Google, não podem ser reutilizados para publicidade ou prospeção em violação dessas restrições.</w:t>
      </w:r>
    </w:p>
    <w:p>
      <w:pPr>
        <w:pStyle w:val="Heading2"/>
      </w:pPr>
      <w:r>
        <w:t>11 Créditos, pagamentos e despesas de terceiros</w:t>
      </w:r>
    </w:p>
    <w:p>
      <w:r>
        <w:t>Os preços, créditos incluídos e regras de consumo são os apresentados antes da compra ou no contrato. Créditos de IA não são orçamento publicitário. Campanhas pagas, telecomunicações, alojamento e serviços externos podem implicar custos separados, que exigem autorização e condições identificadas. Falhas de integrações ou alterações de preços de terceiros devem ser tratadas de acordo com o contrato; estes termos não autorizam débitos indeterminados.</w:t>
      </w:r>
    </w:p>
    <w:p>
      <w:pPr>
        <w:pStyle w:val="Heading2"/>
      </w:pPr>
      <w:r>
        <w:t>12 Integrações e disponibilidade</w:t>
      </w:r>
    </w:p>
    <w:p>
      <w:r>
        <w:t>Google, OpenAI, Meta, operadores de telecomunicações e outros fornecedores têm condições e limites próprios. O cliente deve autorizar apenas as integrações de que necessita e pode revogar acessos pelos meios disponíveis. A revogação não apaga automaticamente o histórico importado. Podem ocorrer interrupções, manutenção e alterações de terceiros; compromissos de disponibilidade ou apoio adicionais devem constar do contrato.</w:t>
      </w:r>
    </w:p>
    <w:p>
      <w:pPr>
        <w:pStyle w:val="Heading2"/>
      </w:pPr>
      <w:r>
        <w:t>13 Proteção de dados e confidencialidade</w:t>
      </w:r>
    </w:p>
    <w:p>
      <w:r>
        <w:t>A Política de Privacidade descreve os tratamentos de dados. Quando a Memogadget trate dados por conta do cliente, o acordo aplicável deve definir instruções, finalidades, medidas de segurança, assistência, subcontratação e devolução ou eliminação. Estes termos não substituem esse acordo. Cada parte deve limitar o acesso a informação confidencial ao necessário e respeitar obrigações legais e contratuais.</w:t>
      </w:r>
    </w:p>
    <w:p>
      <w:pPr>
        <w:pStyle w:val="Heading2"/>
      </w:pPr>
      <w:r>
        <w:t>14 Incidentes, suspensão e cessação</w:t>
      </w:r>
    </w:p>
    <w:p>
      <w:r>
        <w:t>Problemas e incidentes devem ser comunicados a comercial@memogadget.com, indicando a empresa, a funcionalidade e a ocorrência, sem enviar palavras-passe ou chaves de API. Uma utilização pode ser limitada ou suspensa quando necessário para prevenir dano, acesso indevido, utilização ilícita ou incumprimento contratual, com comunicação adequada ao caso. A cessação, exportação e destino dos dados seguem o contrato e as obrigações legais. A suspensão de uma funcionalidade não implica necessariamente desligar toda a plataforma.</w:t>
      </w:r>
    </w:p>
    <w:p>
      <w:pPr>
        <w:pStyle w:val="Heading2"/>
      </w:pPr>
      <w:r>
        <w:t>15 Responsabilidade e limitações</w:t>
      </w:r>
    </w:p>
    <w:p>
      <w:r>
        <w:t>O Assist apoia a operação e não substitui a avaliação profissional, os testes e as decisões humanas exigidos pelo contexto. Cada parte responde pelas obrigações que legal e contratualmente lhe caibam; não se exclui responsabilidade que não possa ser excluída por lei. A utilização do serviço não significa que a empresa cliente ou todos os seus processos estejam conformes com o AI Act ou o RGPD. Não é atribuída uma certificação AI Act por aceitar estes termos.</w:t>
      </w:r>
    </w:p>
    <w:p>
      <w:pPr>
        <w:pStyle w:val="Heading2"/>
      </w:pPr>
      <w:r>
        <w:t>16 Versões, alterações e lei aplicável</w:t>
      </w:r>
    </w:p>
    <w:p>
      <w:r>
        <w:t>A data e a versão publicadas identificam estes termos. Alterações materiais devem ser comunicadas antes da sua aplicação quando exigido; os registos históricos de aceitação não são substituídos nem convertidos em aceitação de uma nova versão. Aplica-se a lei portuguesa, sem prejuízo das normas imperativas e das regras de competência aplicáveis. Dúvidas ou divergências podem ser apresentadas a comercial@memogadget.com.</w:t>
      </w:r>
    </w:p>
    <w:p>
      <w:pPr>
        <w:pStyle w:val="Heading1"/>
      </w:pPr>
      <w:r>
        <w:t>Anexo de tratamento de dados</w:t>
      </w:r>
    </w:p>
    <w:p>
      <w:r>
        <w:t>Acordo de subcontratação nos termos do artigo 28.º do RGPD. Os quadros seguintes integram o acordo e devem ser completados com factos verificáveis antes de o cliente confiar dados pessoais ao serviço. Não existe uma lista de subcontratantes ou uma avaliação de transferência concluída por este modelo.</w:t>
      </w:r>
    </w:p>
    <w:p>
      <w:pPr>
        <w:pStyle w:val="Heading2"/>
      </w:pPr>
      <w:r>
        <w:t>Quadro do tratamento</w:t>
      </w:r>
    </w:p>
    <w:p>
      <w:r>
        <w:t>Objeto e operações autorizadas: [PREENCHER]. Finalidades e instruções: [PREENCHER].</w:t>
      </w:r>
    </w:p>
    <w:p>
      <w:r>
        <w:t>Duração e frequência: [PREENCHER]. Categorias de dados: [PREENCHER]. Categorias de titulares: [PREENCHER].</w:t>
      </w:r>
    </w:p>
    <w:p>
      <w:r>
        <w:t>Dados sensíveis ou de pessoas vulneráveis: [NÃO / AVALIAÇÃO E GARANTIAS EXPRESSAS].</w:t>
      </w:r>
    </w:p>
    <w:p>
      <w:r>
        <w:t>Contactos de privacidade e incidentes das duas partes: [PREENCHER].</w:t>
      </w:r>
    </w:p>
    <w:p>
      <w:r>
        <w:t>Outros subcontratantes: para cada um, preencher denominação contratual, serviço, dados, país, mecanismos de transferência, contrato e garantias verificados. Incluir alojamento, IA, comunicação e outros que tratem efetivamente dados; não assumir que um canal responsável autónomo é sempre subcontratante.</w:t>
      </w:r>
    </w:p>
    <w:p>
      <w:r>
        <w:t>Medidas técnicas e organizativas efetivamente verificadas, incluindo acessos, logs, proteção de dados, backups e recuperação: [ANEXAR E IDENTIFICAR VERSÃO].</w:t>
      </w:r>
    </w:p>
    <w:p>
      <w:r>
        <w:t>Prazos de aviso sobre subcontratantes e exportação, eliminação e backups: [PREENCHER CONFORME AS CONDIÇÕES PARTICULARES].</w:t>
      </w:r>
    </w:p>
    <w:p>
      <w:pPr>
        <w:pStyle w:val="Heading2"/>
      </w:pPr>
      <w:r>
        <w:t>1 Objeto e duração</w:t>
      </w:r>
    </w:p>
    <w:p>
      <w:r>
        <w:t>A empresa cliente atua como responsável pelo tratamento dos dados que confia ao Assist para as finalidades identificadas no quadro do tratamento. A Memogadget atua como subcontratante relativamente a esses dados. O tratamento dura durante a prestação contratada e o período de devolução ou eliminação definido. Os tratamentos próprios da Memogadget, designadamente faturação e segurança, são descritos na Política de Privacidade e não se convertem em tratamento por conta do cliente por força deste anexo.</w:t>
      </w:r>
    </w:p>
    <w:p>
      <w:pPr>
        <w:pStyle w:val="Heading2"/>
      </w:pPr>
      <w:r>
        <w:t>2 Instruções documentadas</w:t>
      </w:r>
    </w:p>
    <w:p>
      <w:r>
        <w:t>A Memogadget trata os dados apenas segundo instruções documentadas do cliente, incluindo as configurações e operações autorizadas no Assist, e para prestar as funcionalidades contratadas. As instruções não podem autorizar uma utilização proibida nem dispensar a base legal ou os direitos dos titulares. Se uma instrução infringir o regime de proteção de dados, a Memogadget informa imediatamente o cliente. Se um tratamento for exigido por lei, informa previamente o cliente, salvo proibição legal.</w:t>
      </w:r>
    </w:p>
    <w:p>
      <w:pPr>
        <w:pStyle w:val="Heading2"/>
      </w:pPr>
      <w:r>
        <w:t>3 Confidencialidade e segurança</w:t>
      </w:r>
    </w:p>
    <w:p>
      <w:r>
        <w:t>A Memogadget assegura que as pessoas autorizadas ao tratamento assumem confidencialidade ou estão sujeitas a dever legal adequado. Implementa medidas técnicas e organizativas proporcionais ao risco e documenta-as no quadro de segurança anexo. As medidas devem abranger controlo de acessos, separação de empresas, proteção de credenciais, comunicações cifradas, registos, resposta a incidentes e recuperação, conforme a arquitetura e a função efetivamente utilizadas. Não existe compromisso de segurança absoluta.</w:t>
      </w:r>
    </w:p>
    <w:p>
      <w:pPr>
        <w:pStyle w:val="Heading2"/>
      </w:pPr>
      <w:r>
        <w:t>4 Outros subcontratantes</w:t>
      </w:r>
    </w:p>
    <w:p>
      <w:r>
        <w:t>Antes da assinatura, as partes completam a lista de fornecedores que tratam dados do cliente, indicando entidade contratual, serviço, localização, categorias de dados e mecanismo de transferência. O cliente concede autorização geral apenas para a lista anexada e o procedimento de alterações acordado: antecedência de aviso [PREENCHER] dias e canal [PREENCHER]. A Memogadget informa de alterações previstas e permite oposição fundamentada antes da aplicação. Sem solução adequada, as partes acordam a suspensão ou cessação da função afetada e o destino dos dados. A Memogadget impõe ao outro subcontratante obrigações de proteção equivalentes às aplicáveis e mantém a responsabilidade legalmente prevista.</w:t>
      </w:r>
    </w:p>
    <w:p>
      <w:pPr>
        <w:pStyle w:val="Heading2"/>
      </w:pPr>
      <w:r>
        <w:t>5 Transferências internacionais</w:t>
      </w:r>
    </w:p>
    <w:p>
      <w:r>
        <w:t>Transferências para fora do EEE exigem instruções documentadas e um mecanismo válido do capítulo V do RGPD. Identificam-se os países, destinatários e garantias no quadro de fornecedores, incluindo decisões de adequação ou cláusulas contratuais-tipo e avaliações e medidas complementares quando necessárias. A simples referência a Google ou OpenAI não demonstra que estas condições estão cumpridas.</w:t>
      </w:r>
    </w:p>
    <w:p>
      <w:pPr>
        <w:pStyle w:val="Heading2"/>
      </w:pPr>
      <w:r>
        <w:t>6 Assistência aos direitos dos titulares</w:t>
      </w:r>
    </w:p>
    <w:p>
      <w:r>
        <w:t>Tendo em conta a natureza do tratamento e as informações disponíveis, a Memogadget auxilia o cliente a responder aos pedidos dos titulares através das medidas técnicas e organizativas adequadas. Encaminha os pedidos relativos aos dados do cliente para o contacto responsável, sem assumir decisões que cabem ao cliente, salvo instrução ou obrigação legal. O cliente responde ao titular nos prazos aplicáveis.</w:t>
      </w:r>
    </w:p>
    <w:p>
      <w:pPr>
        <w:pStyle w:val="Heading2"/>
      </w:pPr>
      <w:r>
        <w:t>7 Violações de dados e incidentes</w:t>
      </w:r>
    </w:p>
    <w:p>
      <w:r>
        <w:t>A Memogadget comunica ao cliente uma violação de dados pessoais sem demora injustificada após dela ter conhecimento. Disponibiliza a natureza da violação, categorias e volume aproximado quando conhecidos, contacto, consequências prováveis e medidas tomadas ou propostas; pode completar a informação por fases. O cliente avalia as notificações à autoridade e aos titulares que lhe caibam. Incidentes técnicos e de IA são tratados segundo a sua natureza, não sendo automaticamente todos violações de dados. Contactos e escalamento constam do quadro contratual.</w:t>
      </w:r>
    </w:p>
    <w:p>
      <w:pPr>
        <w:pStyle w:val="Heading2"/>
      </w:pPr>
      <w:r>
        <w:t>8 Avaliações e cooperação</w:t>
      </w:r>
    </w:p>
    <w:p>
      <w:r>
        <w:t>A Memogadget presta a assistência aplicável ao cumprimento dos artigos 32.º a 36.º do RGPD, considerando a natureza do tratamento e as informações ao seu dispor, incluindo avaliações de impacto e consulta prévia quando necessárias. O cliente define a finalidade e avalia a admissibilidade do tratamento e a necessidade dessas avaliações.</w:t>
      </w:r>
    </w:p>
    <w:p>
      <w:pPr>
        <w:pStyle w:val="Heading2"/>
      </w:pPr>
      <w:r>
        <w:t>9 Informação e auditoria</w:t>
      </w:r>
    </w:p>
    <w:p>
      <w:r>
        <w:t>A Memogadget disponibiliza a informação necessária para demonstrar o cumprimento das obrigações do artigo 28.º e permite e contribui para auditorias e inspeções pelo cliente ou auditor mandatado. As partes coordenam previamente âmbito, segurança, confidencialidade e acesso aos elementos, sem comprometer dados de outras empresas nem impedir auditorias legalmente necessárias. Custos extraordinários apenas podem ser imputados segundo condições previamente acordadas que não esvaziem estes direitos.</w:t>
      </w:r>
    </w:p>
    <w:p>
      <w:pPr>
        <w:pStyle w:val="Heading2"/>
      </w:pPr>
      <w:r>
        <w:t>10 Devolução e eliminação</w:t>
      </w:r>
    </w:p>
    <w:p>
      <w:r>
        <w:t>No termo da prestação, a Memogadget, segundo a escolha documentada do cliente, devolve ou elimina os dados e elimina cópias existentes, salvo conservação exigida por lei. Prazo para exportação, formato, prazo para eliminação dos sistemas ativos, ciclo das cópias de segurança e retenções legais: [PREENCHER NO QUADRO]. Dados retidos por obrigação legal permanecem limitados a essa finalidade. Não confundir desligar uma integração com eliminar o histórico.</w:t>
      </w:r>
    </w:p>
    <w:p>
      <w:pPr>
        <w:pStyle w:val="Heading2"/>
      </w:pPr>
      <w:r>
        <w:t>11 Obrigações do cliente</w:t>
      </w:r>
    </w:p>
    <w:p>
      <w:r>
        <w:t>O cliente garante instruções lícitas, bases legais adequadas, informação aos titulares, permissões de acesso e direitos sobre os dados fornecidos. Limita categorias e volumes ao necessário e comunica restrições especiais antes do tratamento. Categorias especiais de dados, dados de condenações, crianças ou outras populações vulneráveis só podem ser incluídos se expressamente avaliados, autorizados e documentados com as garantias aplicáveis. A assinatura não autoriza funcionalidades bloqueadas ou utilizações de risco elevado sem avaliação própria.</w:t>
      </w:r>
    </w:p>
    <w:p>
      <w:pPr>
        <w:pStyle w:val="Heading2"/>
      </w:pPr>
      <w:r>
        <w:t>12 Prevalência e aceitação</w:t>
      </w:r>
    </w:p>
    <w:p>
      <w:r>
        <w:t>Este anexo integra o contrato e prevalece sobre disposições genéricas incompatíveis em matéria de tratamento por conta do cliente. Não substitui o dever de informação aos titulares nem o mecanismo de transferência internacional. A aceitação abrange o contrato e todos os anexos preenchidos e identificados, por meio de contratação válido e conservável. Não constitui declaração ou certificação global de conformidade AI Act ou RGPD.</w:t>
      </w:r>
    </w:p>
    <w:p>
      <w:pPr>
        <w:pStyle w:val="Heading1"/>
      </w:pPr>
      <w:r>
        <w:t>Anexo Assist Voz</w:t>
      </w:r>
    </w:p>
    <w:p>
      <w:r>
        <w:t>Completar apenas quando o serviço de voz for contratado. Este anexo pode integrar a aceitação online, com versão e condições específicas conservadas, ou ser assinado separadamente. Não é exigida assinatura qualificada apenas por se tratar de atendimento por voz.</w:t>
      </w:r>
    </w:p>
    <w:p>
      <w:r>
        <w:t>Empresa representada e números de telefone abrangidos: [PREENCHER]. Operador e titularidade do número: [PREENCHER]. Horários, idiomas e finalidade do atendimento: [PREENCHER].</w:t>
      </w:r>
    </w:p>
    <w:p>
      <w:r>
        <w:t>Texto inicial de identificação como IA e empresa representada: [PREENCHER]. Encaminhamento para pessoa, contactos de emergência operacional e indisponibilidade: [PREENCHER]. O agente não deve afirmar que realizou uma chamada ou encaminhamento sem confirmação.</w:t>
      </w:r>
    </w:p>
    <w:p>
      <w:r>
        <w:t>Informações que o agente pode transmitir, ações permitidas, limites comerciais e atos que exigem confirmação: [PREENCHER]. Proibições e utilizações fora do âmbito: [PREENCHER].</w:t>
      </w:r>
    </w:p>
    <w:p>
      <w:r>
        <w:t>Áudio: [PROCESSAMENTO EM TEMPO REAL / GRAVAÇÃO CONSERVADA]. Transcrições: [SIM / NÃO E FINALIDADE]. Destinatários, prazos, acessos e fundamento legal: [PREENCHER]. Se houver gravação, aprovar a informação e as autorizações legalmente aplicáveis antes da ativação.</w:t>
      </w:r>
    </w:p>
    <w:p>
      <w:r>
        <w:t>Custos de número, minutos, créditos e excedentes: [PREENCHER]. Limites de despesa e autorização de chamadas de saída: [PREENCHER OU NÃO AUTORIZADAS]. Um número de entrada não autoriza campanhas ou chamadas de saída.</w:t>
      </w:r>
    </w:p>
    <w:p>
      <w:r>
        <w:t>Fornecedores e transferências efetivamente envolvidos: [REFERÊNCIA AO QUADRO DE TRATAMENTO]. Testes de identificação IA, encaminhamento, limites de ação e interrupção: [REGISTAR RESULTADOS]. Responsável que autoriza a ativação e data: [PREENCHER].</w:t>
      </w:r>
    </w:p>
    <w:p>
      <w:pPr>
        <w:pStyle w:val="Heading1"/>
      </w:pPr>
      <w:r>
        <w:t>Aceitação e assinaturas</w:t>
      </w:r>
    </w:p>
    <w:p>
      <w:r>
        <w:t>Forma escolhida: [ASSINATURA ELETRÓNICA QUALIFICADA / ASSINATURA MANUSCRITA / ACEITAÇÃO ONLINE COM EVIDÊNCIA ADEQUADA]. A modalidade concreta deve permitir verificar identidade, poderes de representação, intenção, integridade e conservação do contrato final e dos anexos. Um email ou nome digitado não é, por si só, assinatura qualificada.</w:t>
      </w:r>
    </w:p>
    <w:p>
      <w:r>
        <w:t>Para aceitação online, conservar o texto final integral e anexos, identificadores de versão e hashes, identificação da empresa e representante, declaração de poderes e meios de verificação, manifestação expressa de aceitação, data/hora e evidência técnica necessária e proporcional. Disponibilizar uma cópia conservável ao cliente. Este documento não implementa um serviço de assinatura nem prova uma aceitação já efetuada.</w:t>
      </w:r>
    </w:p>
    <w:p>
      <w:r>
        <w:t>Pela Memogadget: nome [PREENCHER] | qualidade [PREENCHER] | data [PREENCHER] | assinatura [PREENCHER].</w:t>
      </w:r>
    </w:p>
    <w:p>
      <w:r>
        <w:t>Pelo cliente: nome [PREENCHER] | qualidade [PREENCHER] | data [PREENCHER] | assinatura [PREENCHER].</w:t>
      </w:r>
    </w:p>
    <w:p>
      <w:r>
        <w:t>Antes da assinatura: completar todos os campos, anexar a lista de fornecedores e medidas verificadas, rever adequação ao caso concreto e entregar o conjunto final às partes. Esta minuta não foi objeto de validação jurídica independente.</w:t>
      </w:r>
    </w:p>
    <w:sectPr w:rsidR="00FC693F" w:rsidRPr="0006063C" w:rsidSect="00034616">
      <w:headerReference w:type="default" r:id="rId9"/>
      <w:footerReference w:type="default" r:id="rId10"/>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Minuta v20261015  |  Página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sz w:val="18"/>
      </w:rPr>
      <w:t>MEMOGADGET ASSIST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